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5529" w:hanging="0"/>
        <w:jc w:val="right"/>
        <w:rPr>
          <w:sz w:val="14"/>
          <w:szCs w:val="1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KLAUZULA INFORMACYJNA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Na podstawie art. 13 Rozporządzenia Parlamentu Europejskiego i Rady (UE) 2016/679 z dnia 27 kwietnia 2016 r. w sprawie ochrony osób fizycznych w związku z przetwarzaniem danych osobowych i w sprawie swobodnego przepływu tych danych oraz uchylenia dyrektywy 95/46/WE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, (dalej: RODO) </w:t>
      </w:r>
      <w:r>
        <w:rPr>
          <w:rFonts w:eastAsia="Calibri" w:cs="Times New Roman" w:ascii="Times New Roman" w:hAnsi="Times New Roman"/>
          <w:sz w:val="24"/>
          <w:szCs w:val="24"/>
        </w:rPr>
        <w:t>uprzejmie informuję, że: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A</w:t>
      </w:r>
      <w:r>
        <w:rPr>
          <w:rFonts w:eastAsia="Calibri" w:cs="Times New Roman" w:ascii="Times New Roman" w:hAnsi="Times New Roman"/>
          <w:sz w:val="24"/>
          <w:szCs w:val="24"/>
        </w:rPr>
        <w:t xml:space="preserve">dministratorem Pani/Pana danych osobowych jest </w:t>
      </w:r>
      <w:r>
        <w:rPr>
          <w:rFonts w:eastAsia="Calibri" w:cs="Times New Roman" w:ascii="Times New Roman" w:hAnsi="Times New Roman"/>
          <w:sz w:val="24"/>
          <w:szCs w:val="24"/>
        </w:rPr>
        <w:t>Wójt Gminy Charsznica z siedzibą ul. Kolejowa 20,32-250 Charsznica. I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nspektorem ochrony danych osobowych w Gmina Charsznica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 xml:space="preserve"> firma Adler Computers–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bidi="ar-SA"/>
        </w:rPr>
        <w:t xml:space="preserve">Pan Adam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>Szpak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>,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>z siedzibą w Mi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bidi="ar-SA"/>
        </w:rPr>
        <w:t>echowie ul. Sobieskiego 9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>, 32-200 Miechów,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 xml:space="preserve"> telefon -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>504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bidi="ar-SA"/>
        </w:rPr>
        <w:t> 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>473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bidi="ar-SA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>589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 xml:space="preserve">, email: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color w:val="000000"/>
            <w:sz w:val="24"/>
            <w:szCs w:val="24"/>
            <w:lang w:bidi="ar-SA"/>
          </w:rPr>
          <w:t>rodo@adler.org.pl</w:t>
        </w:r>
      </w:hyperlink>
      <w:r>
        <w:rPr>
          <w:rStyle w:val="Czeinternetow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bidi="ar-SA"/>
        </w:rPr>
        <w:t>.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Pani/Pana dane osobowe przetwarzane będą w celu </w:t>
      </w:r>
      <w:r>
        <w:rPr>
          <w:rFonts w:eastAsia="Calibri" w:cs="Times New Roman" w:ascii="Times New Roman" w:hAnsi="Times New Roman"/>
          <w:i/>
          <w:sz w:val="24"/>
          <w:szCs w:val="24"/>
        </w:rPr>
        <w:t>oszacowania zgłoszonych szkód, powstałych na skutek niekorzystnych zjawisk atmosferycznych w gospodarstwie rolnym</w:t>
      </w:r>
      <w:r>
        <w:rPr>
          <w:rFonts w:eastAsia="Calibri" w:cs="Times New Roman" w:ascii="Times New Roman" w:hAnsi="Times New Roman"/>
          <w:sz w:val="24"/>
          <w:szCs w:val="24"/>
        </w:rPr>
        <w:t xml:space="preserve"> oraz sporządzenia protokołu Komisji z szacunku szkód, na podstawie art. 6 ust. 1 pkt a oraz c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RODO </w:t>
      </w:r>
      <w:r>
        <w:rPr>
          <w:rFonts w:eastAsia="Calibri" w:cs="Times New Roman" w:ascii="Times New Roman" w:hAnsi="Times New Roman"/>
          <w:sz w:val="24"/>
          <w:szCs w:val="24"/>
        </w:rPr>
        <w:t xml:space="preserve">oraz Rozporządzenia  Rady Ministrów z dnia 27 stycznia 2015 r. w sprawie szczegółowego zakresu i sposobów realizacji niektórych zadań Agencji Restrukturyzacji i Modernizacji Rolnictwa </w:t>
      </w:r>
      <w:hyperlink r:id="rId3">
        <w:r>
          <w:rPr>
            <w:rFonts w:eastAsia="Calibri" w:cs="Times New Roman" w:ascii="Times New Roman" w:hAnsi="Times New Roman"/>
            <w:color w:val="000000"/>
            <w:sz w:val="24"/>
            <w:szCs w:val="24"/>
          </w:rPr>
          <w:t>(Dz. U. z 2015 r. poz. 187 z późn. zm.)</w:t>
        </w:r>
      </w:hyperlink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; 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odbiorcą Pani/Pana danych osobowych będą wyłącznie podmioty uprawnione na podstawie przepisów prawa, a także podmioty, którym na podstawie  zawartej umowy powierzono przetwarzanie danych osobowych; dokumentacja z zakresu szacowania szkód w Pani/Pana gospodarstwie rolnym, po sporządzeniu protokołu komisji zostanie przekazana do Małopolskiego Urzędu Wojewódzkiego w Krakowie celem weryfikacji i potwierdzenia przez Wojewodę Małopolskiego zakresu i wysokości powstałych szkód.*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Pani/Pana dane osobowe nie będą przekazywane do państwa trzeciego/organizacji międzynarodowej;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Ma Pani/Pan prawo do:</w:t>
      </w:r>
    </w:p>
    <w:p>
      <w:pPr>
        <w:pStyle w:val="Normal"/>
        <w:numPr>
          <w:ilvl w:val="0"/>
          <w:numId w:val="2"/>
        </w:numPr>
        <w:spacing w:lineRule="auto" w:line="360" w:before="120" w:after="0"/>
        <w:ind w:left="851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dostępu do treści swoich danych,</w:t>
      </w:r>
    </w:p>
    <w:p>
      <w:pPr>
        <w:pStyle w:val="Normal"/>
        <w:numPr>
          <w:ilvl w:val="0"/>
          <w:numId w:val="2"/>
        </w:numPr>
        <w:spacing w:lineRule="auto" w:line="360" w:before="120" w:after="0"/>
        <w:ind w:left="851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sprostowania treści swoich danych,</w:t>
      </w:r>
    </w:p>
    <w:p>
      <w:pPr>
        <w:pStyle w:val="Normal"/>
        <w:numPr>
          <w:ilvl w:val="0"/>
          <w:numId w:val="2"/>
        </w:numPr>
        <w:spacing w:lineRule="auto" w:line="360" w:before="120" w:after="0"/>
        <w:ind w:left="851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ograniczenia przetwarzania.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przypadkach określonych przepisami prawa mają Państwo również prawo do:</w:t>
      </w:r>
    </w:p>
    <w:p>
      <w:pPr>
        <w:pStyle w:val="Normal"/>
        <w:keepLines/>
        <w:numPr>
          <w:ilvl w:val="0"/>
          <w:numId w:val="3"/>
        </w:numPr>
        <w:tabs>
          <w:tab w:val="clear" w:pos="708"/>
          <w:tab w:val="left" w:pos="851" w:leader="none"/>
          <w:tab w:val="left" w:pos="1134" w:leader="none"/>
        </w:tabs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przeniesienia danych do innego administratora, </w:t>
      </w:r>
    </w:p>
    <w:p>
      <w:pPr>
        <w:pStyle w:val="Normal"/>
        <w:keepLines/>
        <w:numPr>
          <w:ilvl w:val="0"/>
          <w:numId w:val="3"/>
        </w:numPr>
        <w:tabs>
          <w:tab w:val="clear" w:pos="708"/>
          <w:tab w:val="left" w:pos="851" w:leader="none"/>
          <w:tab w:val="left" w:pos="1134" w:leader="none"/>
        </w:tabs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wniesienia sprzeciwu wobec przetwarzania danych osobowych,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usunięcia danych osobowych. 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Ma Pani/Pan prawo w dowolnym momencie cofnąć zgodę na przetwarzanie danych jej dotyczących bez wpływu na zgodność z prawem przetwarzania, którego dokonano na podstawie zgody przed jej cofnięciem, z tym, że nie dotyczy to danych, które podlegają archiwizacji zgodnie z obowiązującym administratora przepisami prawa.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Pani/Pana dane będą przechowywane w urzędzie gminy przez okres czasu określony w przepisach dotyczących archiwizowania dokumentów.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przypadku uznania, że przetwarzanie Pani/Pana danych osobowych narusza przepisy o ochronie tych danych ma Pani/Pan prawo wniesienia skargi do Prezesa Urzędu Ochrony Danych Osobowych;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Podanie przez Panią/Pana danych osobowych jest niezbędne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do przeprowadzenia procesu szacowania szkód. </w:t>
      </w:r>
      <w:r>
        <w:rPr>
          <w:rFonts w:eastAsia="Calibri" w:cs="Times New Roman" w:ascii="Times New Roman" w:hAnsi="Times New Roman"/>
          <w:sz w:val="24"/>
          <w:szCs w:val="24"/>
        </w:rPr>
        <w:t xml:space="preserve">Jeśli danych tych administrator nie będzie posiadał, nie będzie mógł Pani/Pana sprawy rozpatrzyć; </w:t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426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Decyzje w Pani/Pana sprawie nie będą zapadały w sposób zautomatyzowany, a dane nie będą podlegać profilowaniu.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360" w:before="0" w:after="0"/>
        <w:ind w:left="709" w:hanging="284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360" w:before="0" w:after="0"/>
        <w:ind w:left="709" w:hanging="284"/>
        <w:jc w:val="right"/>
        <w:rPr>
          <w:rFonts w:ascii="Times New Roman" w:hAnsi="Times New Roman" w:eastAsia="Calibri" w:cs="Times New Roman"/>
          <w:i/>
          <w:i/>
        </w:rPr>
      </w:pPr>
      <w:r>
        <w:rPr>
          <w:rFonts w:eastAsia="Calibri" w:cs="Times New Roman" w:ascii="Times New Roman" w:hAnsi="Times New Roman"/>
          <w:i/>
        </w:rPr>
        <w:t>Wójt  Gminy Charsznica</w:t>
      </w:r>
    </w:p>
    <w:p>
      <w:pPr>
        <w:pStyle w:val="Normal"/>
        <w:spacing w:lineRule="auto" w:line="360" w:before="0" w:after="0"/>
        <w:ind w:left="709" w:hanging="284"/>
        <w:jc w:val="right"/>
        <w:rPr>
          <w:rFonts w:ascii="Times New Roman" w:hAnsi="Times New Roman" w:eastAsia="Calibri" w:cs="Times New Roman"/>
          <w:i/>
          <w:i/>
        </w:rPr>
      </w:pPr>
      <w:r>
        <w:rPr>
          <w:rFonts w:eastAsia="Calibri" w:cs="Times New Roman" w:ascii="Times New Roman" w:hAnsi="Times New Roman"/>
          <w:i/>
        </w:rPr>
        <w:t>Tomasz Kościelniak</w:t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tabs>
          <w:tab w:val="clear" w:pos="708"/>
          <w:tab w:val="left" w:pos="540" w:leader="none"/>
          <w:tab w:val="left" w:pos="720" w:leader="none"/>
          <w:tab w:val="left" w:pos="900" w:leader="none"/>
        </w:tabs>
        <w:spacing w:lineRule="auto" w:line="240" w:before="0" w:after="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418" w:right="1418" w:gutter="0" w:header="0" w:top="993" w:footer="462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540" w:leader="none"/>
        <w:tab w:val="left" w:pos="720" w:leader="none"/>
        <w:tab w:val="left" w:pos="900" w:leader="none"/>
      </w:tabs>
      <w:spacing w:lineRule="auto" w:line="240" w:before="0" w:after="0"/>
      <w:jc w:val="both"/>
      <w:rPr>
        <w:rFonts w:ascii="Times New Roman" w:hAnsi="Times New Roman" w:eastAsia="Calibri" w:cs="Times New Roman"/>
        <w:sz w:val="18"/>
        <w:szCs w:val="18"/>
      </w:rPr>
    </w:pPr>
    <w:r>
      <w:rPr>
        <w:rFonts w:eastAsia="Calibri" w:cs="Times New Roman" w:ascii="Times New Roman" w:hAnsi="Times New Roman"/>
        <w:sz w:val="18"/>
        <w:szCs w:val="18"/>
      </w:rPr>
    </w:r>
  </w:p>
  <w:p>
    <w:pPr>
      <w:pStyle w:val="Normal"/>
      <w:tabs>
        <w:tab w:val="clear" w:pos="708"/>
        <w:tab w:val="left" w:pos="540" w:leader="none"/>
        <w:tab w:val="left" w:pos="720" w:leader="none"/>
        <w:tab w:val="left" w:pos="900" w:leader="none"/>
      </w:tabs>
      <w:spacing w:lineRule="auto" w:line="240" w:before="0" w:after="0"/>
      <w:jc w:val="both"/>
      <w:rPr>
        <w:rFonts w:ascii="Times New Roman" w:hAnsi="Times New Roman" w:eastAsia="Calibri" w:cs="Times New Roman"/>
        <w:sz w:val="18"/>
        <w:szCs w:val="18"/>
      </w:rPr>
    </w:pPr>
    <w:r>
      <w:rPr>
        <w:rFonts w:eastAsia="Calibri" w:cs="Times New Roman" w:ascii="Times New Roman" w:hAnsi="Times New Roman"/>
        <w:sz w:val="18"/>
        <w:szCs w:val="18"/>
      </w:rPr>
    </w:r>
  </w:p>
  <w:p>
    <w:pPr>
      <w:pStyle w:val="Normal"/>
      <w:tabs>
        <w:tab w:val="clear" w:pos="708"/>
        <w:tab w:val="left" w:pos="540" w:leader="none"/>
        <w:tab w:val="left" w:pos="720" w:leader="none"/>
        <w:tab w:val="left" w:pos="90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bCs/>
        <w:sz w:val="24"/>
        <w:szCs w:val="24"/>
        <w:lang w:val="x-none"/>
      </w:rPr>
    </w:pPr>
    <w:r>
      <w:rPr>
        <w:rFonts w:eastAsia="Calibri" w:cs="Times New Roman" w:ascii="Times New Roman" w:hAnsi="Times New Roman"/>
        <w:sz w:val="18"/>
        <w:szCs w:val="18"/>
      </w:rPr>
      <w:t xml:space="preserve">*konieczność potwierdzenia dotyczy  protokołów w których wysokość szkód wynosi powyżej 30% średniej produkcji rolnej lub wartość szkód w środkach trwałych przekracza 3350 zł                                                                                    </w:t>
    </w:r>
  </w:p>
  <w:p>
    <w:pPr>
      <w:pStyle w:val="Normal"/>
      <w:rPr/>
    </w:pPr>
    <w:r>
      <w:rPr/>
    </w:r>
  </w:p>
  <w:p>
    <w:pPr>
      <w:pStyle w:val="Stopka"/>
      <w:tabs>
        <w:tab w:val="clear" w:pos="9072"/>
        <w:tab w:val="center" w:pos="4536" w:leader="none"/>
        <w:tab w:val="right" w:pos="9070" w:leader="none"/>
      </w:tabs>
      <w:rPr/>
    </w:pPr>
    <w:r>
      <w:rPr>
        <w:lang w:val="pl-PL"/>
      </w:rPr>
      <w:tab/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Stopka"/>
      <w:rPr>
        <w:color w:val="FF0000"/>
        <w:sz w:val="20"/>
        <w:szCs w:val="20"/>
        <w:lang w:val="pl-PL"/>
      </w:rPr>
    </w:pPr>
    <w:r>
      <w:rPr>
        <w:color w:val="FF0000"/>
        <w:sz w:val="20"/>
        <w:szCs w:val="20"/>
        <w:lang w:val="pl-P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  <w:b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a40bde"/>
    <w:rPr>
      <w:rFonts w:ascii="Times New Roman" w:hAnsi="Times New Roman" w:eastAsia="Times New Roman" w:cs="Times New Roman"/>
      <w:sz w:val="24"/>
      <w:szCs w:val="24"/>
      <w:lang w:val="x-none"/>
    </w:rPr>
  </w:style>
  <w:style w:type="character" w:styleId="NagwekZnak" w:customStyle="1">
    <w:name w:val="Nagłówek Znak"/>
    <w:basedOn w:val="DefaultParagraphFont"/>
    <w:uiPriority w:val="99"/>
    <w:qFormat/>
    <w:rsid w:val="008241a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431c7"/>
    <w:rPr>
      <w:rFonts w:ascii="Segoe UI" w:hAnsi="Segoe UI" w:cs="Segoe UI"/>
      <w:sz w:val="18"/>
      <w:szCs w:val="18"/>
    </w:rPr>
  </w:style>
  <w:style w:type="character" w:styleId="Czeinternetowe" w:customStyle="1">
    <w:name w:val="Hyperlink"/>
    <w:rPr>
      <w:color w:val="000080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8241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rsid w:val="00a40b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431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do@adler.org.pl" TargetMode="External"/><Relationship Id="rId3" Type="http://schemas.openxmlformats.org/officeDocument/2006/relationships/hyperlink" Target="https://sip.legalis.pl/document-view.seam?documentId=mfrxilrtgaydqmbqgu2dc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LibreOffice/7.4.3.2$Windows_X86_64 LibreOffice_project/1048a8393ae2eeec98dff31b5c133c5f1d08b890</Application>
  <AppVersion>15.0000</AppVersion>
  <Pages>2</Pages>
  <Words>440</Words>
  <Characters>2809</Characters>
  <CharactersWithSpaces>3303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2025-06-06T08:37:00Z</dcterms:created>
  <dc:creator>Paulina Dudek</dc:creator>
  <dc:description/>
  <dc:language>pl-PL</dc:language>
  <cp:lastModifiedBy/>
  <dcterms:modified xsi:type="dcterms:W3CDTF">2025-06-06T14:22:21Z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